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大学生城乡居民基本医疗保险参保知情书</w:t>
      </w:r>
    </w:p>
    <w:p>
      <w:pPr>
        <w:spacing w:line="360" w:lineRule="exact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尊敬的同学：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您好！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大学生城乡居民基本医疗保险以个人为单位参保，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请同学们积极参保，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现将城乡居民基本医疗保险要点介绍如下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eastAsia="zh-CN" w:bidi="ar"/>
        </w:rPr>
        <w:t>：</w:t>
      </w:r>
    </w:p>
    <w:p>
      <w:pPr>
        <w:spacing w:line="360" w:lineRule="exact"/>
        <w:ind w:firstLine="440" w:firstLineChars="200"/>
        <w:rPr>
          <w:rStyle w:val="6"/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Style w:val="6"/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一、</w:t>
      </w:r>
      <w:r>
        <w:rPr>
          <w:rStyle w:val="6"/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参保缴费标准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缴费标准为每人每年320元</w:t>
      </w:r>
    </w:p>
    <w:p>
      <w:pPr>
        <w:spacing w:line="360" w:lineRule="exact"/>
        <w:ind w:firstLine="440" w:firstLineChars="200"/>
        <w:rPr>
          <w:rStyle w:val="6"/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Style w:val="6"/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二、参保待遇水平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（一）学校卫生所普通门诊待遇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参保学生在学校卫生所就诊，医药费享受直接减免报销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60%（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全年报销金额累计不超过3</w:t>
      </w:r>
      <w:r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00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元）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；符合由学校卫生所转诊或急诊报销条件的，在湛江市内医保定点门诊费用可报销50%（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全年报销金额累计不超过</w:t>
      </w:r>
      <w:r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1200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元）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），湛江市外门诊及寒暑假期间门诊不予报销。</w:t>
      </w:r>
    </w:p>
    <w:p>
      <w:pPr>
        <w:spacing w:line="360" w:lineRule="exact"/>
        <w:ind w:firstLine="4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（二）特殊门诊待遇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</w:rPr>
        <w:t>患有高血压病、冠心病等28个病种的参保学生，可申请办理门诊特定病种手续，在门诊治疗按规定给予报销医疗费用。在省门诊特定病种管理办法实施后，按省规定执行。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（三）其他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1.转诊、急诊待遇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学生患有某些疾病，因学校卫生所技术和设备条件限制无法在校内就医，视病情需要，经卫生所负责人或值班医生登记并签字同意后，可转到上级医院门诊治疗。诊疗结束后，学生本人带齐所需资料，交卫生所、医保办负责人审核，审核通过后，到学校财务处报销50%医疗费用，起付线为50元。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学生突患疾病，如有耽误会导致病情加重或有生命危险，须紧急到外院诊治的，属急诊病例。急诊诊疗结束后，学生本人带齐所需资料，交卫生所、医保办负责人审核，审核通过后，到学校财务处报销50%医疗费用，起付线为50元。</w:t>
      </w:r>
    </w:p>
    <w:p>
      <w:pPr>
        <w:spacing w:line="360" w:lineRule="exact"/>
        <w:ind w:firstLine="440" w:firstLineChars="200"/>
        <w:rPr>
          <w:rStyle w:val="6"/>
          <w:rFonts w:ascii="微软雅黑" w:hAnsi="微软雅黑" w:eastAsia="微软雅黑" w:cs="微软雅黑"/>
          <w:b w:val="0"/>
          <w:bCs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2.</w:t>
      </w:r>
      <w:r>
        <w:rPr>
          <w:rStyle w:val="6"/>
          <w:rFonts w:hint="eastAsia" w:ascii="微软雅黑" w:hAnsi="微软雅黑" w:eastAsia="微软雅黑" w:cs="微软雅黑"/>
          <w:b w:val="0"/>
          <w:bCs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以下情况发生的医疗费用，普通门诊统筹基金不予报销：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（1）基本医疗保险药品目录、诊疗项目、医疗服务设施范围和支付标准规定以外的医疗费用；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（2）除急救、抢救外在非定点医院发生的医疗费用；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（3）法律、法规规定由个人承担责任的行为所导致的医疗费用，如吸毒、斗殴、酗酒等；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（4）个人故意所导致的医疗费用，如自伤、自残等（精神病除外）；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（5）施行美容、对先天性残疾进行非功能性矫正或治疗的医疗费用；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（6）违反学校规章制度或管理条例产生的医疗费用；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（7）在国外或者香港、澳门特别行政区以及台湾地区进行诊治的医疗费用；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（8）超出了保险有效期限而未办理报销手续的医疗费用；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（9）按法律、法规规定属于责任人承担责任的交通事故、医疗事故以及人身伤害等所发生的医疗费用。</w:t>
      </w:r>
    </w:p>
    <w:p>
      <w:pPr>
        <w:spacing w:line="360" w:lineRule="exact"/>
        <w:ind w:firstLine="440" w:firstLineChars="200"/>
        <w:rPr>
          <w:rStyle w:val="6"/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三</w:t>
      </w:r>
      <w:r>
        <w:rPr>
          <w:rStyle w:val="6"/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、基本医疗保险住院待遇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按医院的类别确定待遇，具体如下：</w:t>
      </w:r>
    </w:p>
    <w:tbl>
      <w:tblPr>
        <w:tblStyle w:val="4"/>
        <w:tblW w:w="873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733"/>
        <w:gridCol w:w="3000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tblCellSpacing w:w="0" w:type="dxa"/>
          <w:jc w:val="center"/>
        </w:trPr>
        <w:tc>
          <w:tcPr>
            <w:tcW w:w="1745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医院类别</w:t>
            </w:r>
          </w:p>
        </w:tc>
        <w:tc>
          <w:tcPr>
            <w:tcW w:w="1733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起付标准(元)</w:t>
            </w:r>
          </w:p>
        </w:tc>
        <w:tc>
          <w:tcPr>
            <w:tcW w:w="3000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基本医疗保险支付比例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（在规定的项目范围内）</w:t>
            </w:r>
          </w:p>
        </w:tc>
        <w:tc>
          <w:tcPr>
            <w:tcW w:w="2252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基本医疗保险年度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最高支付限额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1745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乡镇卫生院</w:t>
            </w:r>
          </w:p>
        </w:tc>
        <w:tc>
          <w:tcPr>
            <w:tcW w:w="1733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3000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85%</w:t>
            </w:r>
          </w:p>
        </w:tc>
        <w:tc>
          <w:tcPr>
            <w:tcW w:w="2252" w:type="dxa"/>
            <w:vMerge w:val="restart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745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一类医院</w:t>
            </w:r>
          </w:p>
        </w:tc>
        <w:tc>
          <w:tcPr>
            <w:tcW w:w="1733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3000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80%</w:t>
            </w:r>
          </w:p>
        </w:tc>
        <w:tc>
          <w:tcPr>
            <w:tcW w:w="2252" w:type="dxa"/>
            <w:vMerge w:val="continue"/>
            <w:shd w:val="clear" w:color="auto" w:fill="auto"/>
            <w:tcMar>
              <w:top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1745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二类医院</w:t>
            </w:r>
          </w:p>
        </w:tc>
        <w:tc>
          <w:tcPr>
            <w:tcW w:w="1733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3000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70%</w:t>
            </w:r>
          </w:p>
        </w:tc>
        <w:tc>
          <w:tcPr>
            <w:tcW w:w="2252" w:type="dxa"/>
            <w:vMerge w:val="continue"/>
            <w:shd w:val="clear" w:color="auto" w:fill="auto"/>
            <w:tcMar>
              <w:top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745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三类医院</w:t>
            </w:r>
          </w:p>
        </w:tc>
        <w:tc>
          <w:tcPr>
            <w:tcW w:w="1733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500</w:t>
            </w:r>
          </w:p>
        </w:tc>
        <w:tc>
          <w:tcPr>
            <w:tcW w:w="3000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50%</w:t>
            </w:r>
          </w:p>
        </w:tc>
        <w:tc>
          <w:tcPr>
            <w:tcW w:w="2252" w:type="dxa"/>
            <w:vMerge w:val="continue"/>
            <w:shd w:val="clear" w:color="auto" w:fill="auto"/>
            <w:tcMar>
              <w:top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</w:tbl>
    <w:p>
      <w:pPr>
        <w:widowControl/>
        <w:spacing w:line="360" w:lineRule="exact"/>
        <w:ind w:firstLine="440" w:firstLineChars="200"/>
        <w:jc w:val="left"/>
        <w:rPr>
          <w:rStyle w:val="6"/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Style w:val="6"/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四、大病保险待遇</w:t>
      </w:r>
    </w:p>
    <w:p>
      <w:pPr>
        <w:widowControl/>
        <w:spacing w:line="360" w:lineRule="exact"/>
        <w:ind w:firstLine="440" w:firstLineChars="200"/>
        <w:jc w:val="left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在基本医疗保险的基础上，参保居民还可享受大病保险待遇，具体待遇如下表所示：</w:t>
      </w:r>
    </w:p>
    <w:tbl>
      <w:tblPr>
        <w:tblStyle w:val="4"/>
        <w:tblW w:w="871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5"/>
        <w:gridCol w:w="2114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0" w:type="dxa"/>
          <w:jc w:val="center"/>
        </w:trPr>
        <w:tc>
          <w:tcPr>
            <w:tcW w:w="3915" w:type="dxa"/>
            <w:shd w:val="clear" w:color="auto" w:fill="auto"/>
            <w:noWrap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医保政策范围内自付费用</w:t>
            </w:r>
          </w:p>
        </w:tc>
        <w:tc>
          <w:tcPr>
            <w:tcW w:w="2114" w:type="dxa"/>
            <w:shd w:val="clear" w:color="auto" w:fill="auto"/>
            <w:noWrap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大病保险支付比例</w:t>
            </w:r>
          </w:p>
        </w:tc>
        <w:tc>
          <w:tcPr>
            <w:tcW w:w="2683" w:type="dxa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基本医疗保险加大病保险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合计年度最高支付限额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3915" w:type="dxa"/>
            <w:shd w:val="clear" w:color="auto" w:fill="auto"/>
            <w:noWrap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1万元以上5万元以下（含5万元）</w:t>
            </w:r>
          </w:p>
        </w:tc>
        <w:tc>
          <w:tcPr>
            <w:tcW w:w="2114" w:type="dxa"/>
            <w:shd w:val="clear" w:color="auto" w:fill="auto"/>
            <w:noWrap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60%</w:t>
            </w:r>
          </w:p>
        </w:tc>
        <w:tc>
          <w:tcPr>
            <w:tcW w:w="2683" w:type="dxa"/>
            <w:vMerge w:val="restart"/>
            <w:shd w:val="clear" w:color="auto" w:fill="auto"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3915" w:type="dxa"/>
            <w:shd w:val="clear" w:color="auto" w:fill="auto"/>
            <w:noWrap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5万元以上8万元以下（含8万元）</w:t>
            </w:r>
          </w:p>
        </w:tc>
        <w:tc>
          <w:tcPr>
            <w:tcW w:w="2114" w:type="dxa"/>
            <w:shd w:val="clear" w:color="auto" w:fill="auto"/>
            <w:noWrap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70%</w:t>
            </w:r>
          </w:p>
        </w:tc>
        <w:tc>
          <w:tcPr>
            <w:tcW w:w="2683" w:type="dxa"/>
            <w:vMerge w:val="continue"/>
            <w:shd w:val="clear" w:color="auto" w:fill="auto"/>
            <w:tcMar>
              <w:top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3915" w:type="dxa"/>
            <w:shd w:val="clear" w:color="auto" w:fill="auto"/>
            <w:noWrap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8万元以上10万元以下（含10万元）</w:t>
            </w:r>
          </w:p>
        </w:tc>
        <w:tc>
          <w:tcPr>
            <w:tcW w:w="2114" w:type="dxa"/>
            <w:shd w:val="clear" w:color="auto" w:fill="auto"/>
            <w:noWrap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80%</w:t>
            </w:r>
          </w:p>
        </w:tc>
        <w:tc>
          <w:tcPr>
            <w:tcW w:w="2683" w:type="dxa"/>
            <w:vMerge w:val="continue"/>
            <w:shd w:val="clear" w:color="auto" w:fill="auto"/>
            <w:tcMar>
              <w:top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3915" w:type="dxa"/>
            <w:shd w:val="clear" w:color="auto" w:fill="auto"/>
            <w:noWrap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10万元以上</w:t>
            </w:r>
          </w:p>
        </w:tc>
        <w:tc>
          <w:tcPr>
            <w:tcW w:w="2114" w:type="dxa"/>
            <w:shd w:val="clear" w:color="auto" w:fill="auto"/>
            <w:noWrap/>
            <w:tcMar>
              <w:top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85%</w:t>
            </w:r>
          </w:p>
        </w:tc>
        <w:tc>
          <w:tcPr>
            <w:tcW w:w="2683" w:type="dxa"/>
            <w:vMerge w:val="continue"/>
            <w:shd w:val="clear" w:color="auto" w:fill="auto"/>
            <w:tcMar>
              <w:top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exact"/>
        <w:ind w:firstLine="440" w:firstLineChars="200"/>
        <w:jc w:val="left"/>
        <w:rPr>
          <w:rFonts w:ascii="微软雅黑" w:hAnsi="微软雅黑" w:eastAsia="微软雅黑" w:cs="微软雅黑"/>
          <w:b/>
          <w:bCs/>
          <w:color w:val="auto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highlight w:val="none"/>
        </w:rPr>
        <w:t>五、异地就医待遇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</w:rPr>
        <w:t>城乡居民医保已全面推开异地就医即时结算工作。已办理长期异地就医登记手续或经本市三甲医院或五县（市）人民医院转诊的参保人，到异地联网结算定点医院住院，其住院所产生的医疗费用，按本市同级定点医院的待遇标准结算。 </w:t>
      </w:r>
    </w:p>
    <w:p>
      <w:pPr>
        <w:spacing w:line="360" w:lineRule="exact"/>
        <w:ind w:firstLine="440" w:firstLineChars="200"/>
        <w:rPr>
          <w:rFonts w:ascii="微软雅黑" w:hAnsi="微软雅黑" w:eastAsia="微软雅黑" w:cs="微软雅黑"/>
          <w:color w:val="auto"/>
          <w:sz w:val="22"/>
          <w:szCs w:val="22"/>
          <w:highlight w:val="none"/>
        </w:rPr>
      </w:pPr>
    </w:p>
    <w:p>
      <w:pPr>
        <w:widowControl/>
        <w:spacing w:line="360" w:lineRule="exact"/>
        <w:ind w:firstLine="440" w:firstLineChars="200"/>
        <w:jc w:val="left"/>
        <w:rPr>
          <w:rFonts w:ascii="微软雅黑" w:hAnsi="微软雅黑" w:eastAsia="微软雅黑" w:cs="微软雅黑"/>
          <w:b/>
          <w:bCs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六、参保人如有疑问，可拨打电话咨询</w:t>
      </w:r>
    </w:p>
    <w:p>
      <w:pPr>
        <w:widowControl/>
        <w:spacing w:line="360" w:lineRule="exact"/>
        <w:ind w:left="363"/>
        <w:jc w:val="left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湛江市医疗保障局0759-3366931        麻章区医疗保障区0759-2732037</w:t>
      </w:r>
    </w:p>
    <w:p>
      <w:pPr>
        <w:widowControl/>
        <w:spacing w:line="360" w:lineRule="exact"/>
        <w:ind w:left="363"/>
        <w:jc w:val="left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</w:p>
    <w:p>
      <w:pPr>
        <w:widowControl/>
        <w:spacing w:line="360" w:lineRule="exact"/>
        <w:ind w:left="363"/>
        <w:jc w:val="left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</w:p>
    <w:p>
      <w:pPr>
        <w:widowControl/>
        <w:spacing w:line="360" w:lineRule="exact"/>
        <w:ind w:left="363"/>
        <w:jc w:val="left"/>
        <w:rPr>
          <w:rFonts w:ascii="微软雅黑" w:hAnsi="微软雅黑" w:eastAsia="微软雅黑" w:cs="微软雅黑"/>
          <w:b/>
          <w:bCs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◆您是否自愿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在校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参保城乡居民基本医疗保险？</w:t>
      </w:r>
    </w:p>
    <w:p>
      <w:pPr>
        <w:widowControl/>
        <w:numPr>
          <w:ilvl w:val="0"/>
          <w:numId w:val="1"/>
        </w:numPr>
        <w:spacing w:line="360" w:lineRule="exact"/>
        <w:ind w:left="363"/>
        <w:jc w:val="left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是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sym w:font="Wingdings 2" w:char="00A3"/>
      </w:r>
    </w:p>
    <w:p>
      <w:pPr>
        <w:widowControl/>
        <w:numPr>
          <w:ilvl w:val="0"/>
          <w:numId w:val="1"/>
        </w:numPr>
        <w:spacing w:line="360" w:lineRule="exact"/>
        <w:ind w:left="363"/>
        <w:jc w:val="left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否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sym w:font="Wingdings 2" w:char="00A3"/>
      </w:r>
      <w:bookmarkStart w:id="0" w:name="_GoBack"/>
      <w:bookmarkEnd w:id="0"/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u w:val="single"/>
          <w:shd w:val="clear" w:color="auto" w:fill="FFFFFF"/>
          <w:lang w:bidi="ar"/>
        </w:rPr>
        <w:t xml:space="preserve">                                                                           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（请在上方手写注明“我已认真阅读及了解以上内容，父母已知晓情况”字样）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学生本人签名：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 xml:space="preserve">                  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年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月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8C912"/>
    <w:multiLevelType w:val="singleLevel"/>
    <w:tmpl w:val="2BF8C9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E9"/>
    <w:rsid w:val="001100A6"/>
    <w:rsid w:val="00362FE9"/>
    <w:rsid w:val="00DA56F3"/>
    <w:rsid w:val="02932582"/>
    <w:rsid w:val="04FC092C"/>
    <w:rsid w:val="056E07C9"/>
    <w:rsid w:val="0CDD08FA"/>
    <w:rsid w:val="0E61048D"/>
    <w:rsid w:val="10B55351"/>
    <w:rsid w:val="129C748D"/>
    <w:rsid w:val="12A71B5C"/>
    <w:rsid w:val="185B1117"/>
    <w:rsid w:val="1EF26E6D"/>
    <w:rsid w:val="25762491"/>
    <w:rsid w:val="446908DF"/>
    <w:rsid w:val="45B27CA2"/>
    <w:rsid w:val="469B3EB9"/>
    <w:rsid w:val="4A646D1A"/>
    <w:rsid w:val="4C4F4459"/>
    <w:rsid w:val="4D3127B3"/>
    <w:rsid w:val="4FE16DA7"/>
    <w:rsid w:val="550231A3"/>
    <w:rsid w:val="6986525B"/>
    <w:rsid w:val="6D117AF4"/>
    <w:rsid w:val="6ED636B9"/>
    <w:rsid w:val="71295408"/>
    <w:rsid w:val="780A70E8"/>
    <w:rsid w:val="78246A57"/>
    <w:rsid w:val="7AE64D94"/>
    <w:rsid w:val="7BBF69E1"/>
    <w:rsid w:val="7E7768AB"/>
    <w:rsid w:val="7F4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1468</Characters>
  <Lines>12</Lines>
  <Paragraphs>3</Paragraphs>
  <TotalTime>7</TotalTime>
  <ScaleCrop>false</ScaleCrop>
  <LinksUpToDate>false</LinksUpToDate>
  <CharactersWithSpaces>1722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2021-11-10T11:39:00Z</dcterms:created>
  <dc:creator>Administrator</dc:creator>
  <cp:lastModifiedBy>XYZ</cp:lastModifiedBy>
  <dcterms:modified xsi:type="dcterms:W3CDTF">2021-11-11T07:40:33Z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FA2C62B077CA4CB5BC961A113C772AC7</vt:lpwstr>
  </property>
</Properties>
</file>